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296" w:rsidRDefault="00424296" w:rsidP="00424296">
      <w:pPr>
        <w:pStyle w:val="Zhlav"/>
        <w:tabs>
          <w:tab w:val="clear" w:pos="4536"/>
          <w:tab w:val="clear" w:pos="9072"/>
        </w:tabs>
        <w:spacing w:line="360" w:lineRule="auto"/>
        <w:ind w:firstLine="0"/>
        <w:jc w:val="lef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Technické INFORMACE O NEMOVITOSTI</w:t>
      </w:r>
    </w:p>
    <w:p w:rsidR="00424296" w:rsidRPr="00567187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BoldCond"/>
          <w:bCs/>
          <w:sz w:val="22"/>
          <w:szCs w:val="22"/>
        </w:rPr>
      </w:pPr>
      <w:bookmarkStart w:id="0" w:name="OLE_LINK1"/>
      <w:bookmarkStart w:id="1" w:name="OLE_LINK2"/>
      <w:r w:rsidRPr="00567187">
        <w:rPr>
          <w:rFonts w:cs="UnitusTEE-BoldCond"/>
          <w:b/>
          <w:bCs/>
          <w:sz w:val="22"/>
          <w:szCs w:val="22"/>
        </w:rPr>
        <w:t xml:space="preserve">realizace: </w:t>
      </w:r>
      <w:r w:rsidRPr="00567187">
        <w:rPr>
          <w:rFonts w:cs="UnitusTEE-BoldCond"/>
          <w:bCs/>
          <w:sz w:val="22"/>
          <w:szCs w:val="22"/>
        </w:rPr>
        <w:t>2007–2008</w:t>
      </w:r>
      <w:r>
        <w:rPr>
          <w:rFonts w:cs="UnitusTEE-BoldCond"/>
          <w:bCs/>
          <w:sz w:val="22"/>
          <w:szCs w:val="22"/>
        </w:rPr>
        <w:t xml:space="preserve"> ve spolupráci s architektem Kynčl a Knesl </w:t>
      </w:r>
      <w:hyperlink r:id="rId6" w:history="1">
        <w:r w:rsidRPr="0050780B">
          <w:rPr>
            <w:rStyle w:val="Hypertextovodkaz"/>
          </w:rPr>
          <w:t>http://knesl-kyncl.com/</w:t>
        </w:r>
      </w:hyperlink>
    </w:p>
    <w:p w:rsidR="00424296" w:rsidRPr="00567187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 w:rsidRPr="00567187">
        <w:rPr>
          <w:rFonts w:cs="UnitusTEE-ReguCond"/>
          <w:b/>
          <w:sz w:val="22"/>
          <w:szCs w:val="22"/>
        </w:rPr>
        <w:t xml:space="preserve">plocha pozemku: </w:t>
      </w:r>
      <w:r>
        <w:rPr>
          <w:rFonts w:cs="UnitusTEE-ReguCond"/>
          <w:sz w:val="22"/>
          <w:szCs w:val="22"/>
        </w:rPr>
        <w:t>2 379</w:t>
      </w:r>
      <w:r w:rsidRPr="00567187">
        <w:rPr>
          <w:rFonts w:cs="UnitusTEE-ReguCond"/>
          <w:sz w:val="22"/>
          <w:szCs w:val="22"/>
        </w:rPr>
        <w:t xml:space="preserve"> </w:t>
      </w:r>
      <w:r w:rsidRPr="00567187">
        <w:rPr>
          <w:sz w:val="22"/>
          <w:szCs w:val="22"/>
        </w:rPr>
        <w:t>m</w:t>
      </w:r>
      <w:r w:rsidRPr="00567187">
        <w:rPr>
          <w:sz w:val="22"/>
          <w:szCs w:val="22"/>
          <w:vertAlign w:val="superscript"/>
        </w:rPr>
        <w:t>2</w:t>
      </w:r>
    </w:p>
    <w:p w:rsidR="00424296" w:rsidRPr="00567187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 w:rsidRPr="00567187">
        <w:rPr>
          <w:rFonts w:cs="UnitusTEE-ReguCond"/>
          <w:b/>
          <w:sz w:val="22"/>
          <w:szCs w:val="22"/>
        </w:rPr>
        <w:t xml:space="preserve">zastavěná plocha: </w:t>
      </w:r>
      <w:r>
        <w:rPr>
          <w:sz w:val="22"/>
          <w:szCs w:val="22"/>
        </w:rPr>
        <w:t>364</w:t>
      </w:r>
      <w:r w:rsidRPr="00567187">
        <w:rPr>
          <w:sz w:val="22"/>
          <w:szCs w:val="22"/>
        </w:rPr>
        <w:t xml:space="preserve"> m</w:t>
      </w:r>
      <w:r w:rsidRPr="00567187">
        <w:rPr>
          <w:sz w:val="22"/>
          <w:szCs w:val="22"/>
          <w:vertAlign w:val="superscript"/>
        </w:rPr>
        <w:t>2</w:t>
      </w:r>
    </w:p>
    <w:p w:rsidR="00424296" w:rsidRPr="00567187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>
        <w:rPr>
          <w:rFonts w:cs="UnitusTEE-ReguCond"/>
          <w:b/>
          <w:sz w:val="22"/>
          <w:szCs w:val="22"/>
        </w:rPr>
        <w:t xml:space="preserve">podlažní plocha: </w:t>
      </w:r>
      <w:r>
        <w:rPr>
          <w:sz w:val="22"/>
          <w:szCs w:val="22"/>
        </w:rPr>
        <w:t>385</w:t>
      </w:r>
      <w:r w:rsidRPr="00567187">
        <w:rPr>
          <w:sz w:val="22"/>
          <w:szCs w:val="22"/>
        </w:rPr>
        <w:t xml:space="preserve"> m</w:t>
      </w:r>
      <w:r w:rsidRPr="00567187">
        <w:rPr>
          <w:sz w:val="22"/>
          <w:szCs w:val="22"/>
          <w:vertAlign w:val="superscript"/>
        </w:rPr>
        <w:t>2</w:t>
      </w:r>
    </w:p>
    <w:p w:rsidR="00424296" w:rsidRPr="00567187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>
        <w:rPr>
          <w:rFonts w:cs="UnitusTEE-ReguCond"/>
          <w:b/>
          <w:sz w:val="22"/>
          <w:szCs w:val="22"/>
        </w:rPr>
        <w:t>celková plocha venkovních teras</w:t>
      </w:r>
      <w:r w:rsidRPr="00567187">
        <w:rPr>
          <w:rFonts w:cs="UnitusTEE-ReguCond"/>
          <w:b/>
          <w:sz w:val="22"/>
          <w:szCs w:val="22"/>
        </w:rPr>
        <w:t xml:space="preserve">: </w:t>
      </w:r>
      <w:r>
        <w:rPr>
          <w:sz w:val="22"/>
          <w:szCs w:val="22"/>
        </w:rPr>
        <w:t>80</w:t>
      </w:r>
      <w:r w:rsidRPr="00567187">
        <w:rPr>
          <w:sz w:val="22"/>
          <w:szCs w:val="22"/>
        </w:rPr>
        <w:t xml:space="preserve"> m</w:t>
      </w:r>
      <w:r w:rsidRPr="00567187">
        <w:rPr>
          <w:sz w:val="22"/>
          <w:szCs w:val="22"/>
          <w:vertAlign w:val="superscript"/>
        </w:rPr>
        <w:t>2</w:t>
      </w:r>
    </w:p>
    <w:p w:rsidR="00424296" w:rsidRPr="00567187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>
        <w:rPr>
          <w:rFonts w:cs="UnitusTEE-ReguCond"/>
          <w:b/>
          <w:sz w:val="22"/>
          <w:szCs w:val="22"/>
        </w:rPr>
        <w:t xml:space="preserve">celkový obestavěný prostor: </w:t>
      </w:r>
      <w:smartTag w:uri="urn:schemas-microsoft-com:office:smarttags" w:element="metricconverter">
        <w:smartTagPr>
          <w:attr w:name="ProductID" w:val="1 521 m3"/>
        </w:smartTagPr>
        <w:r>
          <w:rPr>
            <w:sz w:val="22"/>
            <w:szCs w:val="22"/>
          </w:rPr>
          <w:t>1 521</w:t>
        </w:r>
        <w:r w:rsidRPr="00567187">
          <w:rPr>
            <w:sz w:val="22"/>
            <w:szCs w:val="22"/>
          </w:rPr>
          <w:t xml:space="preserve"> m</w:t>
        </w:r>
        <w:r>
          <w:rPr>
            <w:sz w:val="22"/>
            <w:szCs w:val="22"/>
            <w:vertAlign w:val="superscript"/>
          </w:rPr>
          <w:t>3</w:t>
        </w:r>
      </w:smartTag>
    </w:p>
    <w:bookmarkEnd w:id="0"/>
    <w:bookmarkEnd w:id="1"/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 w:rsidRPr="00567187">
        <w:rPr>
          <w:rFonts w:cs="UnitusTEE-ReguCond"/>
          <w:sz w:val="22"/>
          <w:szCs w:val="22"/>
        </w:rPr>
        <w:t>Tři objemy – tři funkce – tři venkovní prostory. Každé hmotě je přiřazena odlišná konstrukční výška i barva omítky.</w:t>
      </w:r>
    </w:p>
    <w:p w:rsidR="00424296" w:rsidRPr="00267FD5" w:rsidRDefault="00424296" w:rsidP="00424296">
      <w:pPr>
        <w:autoSpaceDE w:val="0"/>
        <w:autoSpaceDN w:val="0"/>
        <w:adjustRightInd w:val="0"/>
        <w:spacing w:before="120" w:line="360" w:lineRule="auto"/>
        <w:ind w:firstLine="0"/>
        <w:jc w:val="left"/>
        <w:rPr>
          <w:rFonts w:cs="UnitusTEE-ReguCond"/>
          <w:b/>
          <w:sz w:val="22"/>
          <w:szCs w:val="22"/>
        </w:rPr>
      </w:pPr>
      <w:r>
        <w:rPr>
          <w:rFonts w:cs="UnitusTEE-ReguCond"/>
          <w:b/>
          <w:sz w:val="22"/>
          <w:szCs w:val="22"/>
        </w:rPr>
        <w:t>Architektonické řešení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 w:rsidRPr="00567187">
        <w:rPr>
          <w:rFonts w:cs="UnitusTEE-ReguCond"/>
          <w:sz w:val="22"/>
          <w:szCs w:val="22"/>
        </w:rPr>
        <w:t>Jednopodlažní částečně podsklepený rodinný dům 5+1 s integrovanou dvojgaráži je umístěn v horní části svažitého</w:t>
      </w:r>
      <w:r>
        <w:rPr>
          <w:rFonts w:cs="UnitusTEE-ReguCond"/>
          <w:sz w:val="22"/>
          <w:szCs w:val="22"/>
        </w:rPr>
        <w:t xml:space="preserve"> </w:t>
      </w:r>
      <w:r w:rsidRPr="00567187">
        <w:rPr>
          <w:rFonts w:cs="UnitusTEE-ReguCond"/>
          <w:sz w:val="22"/>
          <w:szCs w:val="22"/>
        </w:rPr>
        <w:t>pozemku</w:t>
      </w:r>
      <w:r>
        <w:rPr>
          <w:rFonts w:cs="UnitusTEE-ReguCond"/>
          <w:sz w:val="22"/>
          <w:szCs w:val="22"/>
        </w:rPr>
        <w:t xml:space="preserve">, s přístupem z místní komunikace, vstup do domu je ze západní strany. Základní půdorysné rozměry objektu jsou </w:t>
      </w:r>
      <w:r w:rsidRPr="00925927">
        <w:rPr>
          <w:rFonts w:cs="UnitusTEE-ReguCond"/>
          <w:sz w:val="22"/>
          <w:szCs w:val="22"/>
        </w:rPr>
        <w:t xml:space="preserve">ve směru severojižním </w:t>
      </w:r>
      <w:smartTag w:uri="urn:schemas-microsoft-com:office:smarttags" w:element="metricconverter">
        <w:smartTagPr>
          <w:attr w:name="ProductID" w:val="26,8 m"/>
        </w:smartTagPr>
        <w:r w:rsidRPr="00925927">
          <w:rPr>
            <w:rFonts w:cs="UnitusTEE-ReguCond"/>
            <w:sz w:val="22"/>
            <w:szCs w:val="22"/>
          </w:rPr>
          <w:t>26,8 m</w:t>
        </w:r>
      </w:smartTag>
      <w:r w:rsidRPr="00925927">
        <w:rPr>
          <w:rFonts w:cs="UnitusTEE-ReguCond"/>
          <w:sz w:val="22"/>
          <w:szCs w:val="22"/>
        </w:rPr>
        <w:t xml:space="preserve"> a ve směru západovýchodním </w:t>
      </w:r>
      <w:smartTag w:uri="urn:schemas-microsoft-com:office:smarttags" w:element="metricconverter">
        <w:smartTagPr>
          <w:attr w:name="ProductID" w:val="24,4 m"/>
        </w:smartTagPr>
        <w:r w:rsidRPr="00925927">
          <w:rPr>
            <w:rFonts w:cs="UnitusTEE-ReguCond"/>
            <w:sz w:val="22"/>
            <w:szCs w:val="22"/>
          </w:rPr>
          <w:t>24,4 m</w:t>
        </w:r>
      </w:smartTag>
      <w:r w:rsidRPr="00925927">
        <w:rPr>
          <w:rFonts w:cs="UnitusTEE-ReguCond"/>
          <w:sz w:val="22"/>
          <w:szCs w:val="22"/>
        </w:rPr>
        <w:t>.</w:t>
      </w:r>
      <w:r>
        <w:rPr>
          <w:rFonts w:cs="UnitusTEE-ReguCond"/>
          <w:sz w:val="22"/>
          <w:szCs w:val="22"/>
        </w:rPr>
        <w:t xml:space="preserve"> Hmotově je dům tvořen třemi hranoly rozdílné výšky, které jsou vůči sobě pravoúhle natočeny tak, aby vytvářely vhodné podmínky z hlediska provozu, osvětlení a orientace ke světovým stranám. 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 xml:space="preserve">Vstupní podlaží je členěno do tří křídel, které odpovídají základnímu funkčnímu členění domu: část společenská obsahuje hlavní obytný prostor s jídelnou, část klidová sestává ze tří ložnic, pracovny, šatny a hygienického zázemí, technická část zahrnuje dvoumístnou garáž. 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>Suterén se uplatňuje v pohledu ze zahrady, kde svah umožňuje vytvoření terasy s přímým vstupem z 1. PP na terén, nacházejí se v něm relaxační prostory a technické zázemí domu.</w:t>
      </w:r>
    </w:p>
    <w:p w:rsidR="00424296" w:rsidRDefault="00424296" w:rsidP="00424296">
      <w:pPr>
        <w:autoSpaceDE w:val="0"/>
        <w:autoSpaceDN w:val="0"/>
        <w:adjustRightInd w:val="0"/>
        <w:spacing w:before="120" w:line="360" w:lineRule="auto"/>
        <w:ind w:firstLine="0"/>
        <w:jc w:val="left"/>
        <w:rPr>
          <w:rFonts w:cs="UnitusTEE-ReguCond"/>
          <w:b/>
          <w:sz w:val="22"/>
          <w:szCs w:val="22"/>
        </w:rPr>
      </w:pPr>
      <w:r>
        <w:rPr>
          <w:rFonts w:cs="UnitusTEE-ReguCond"/>
          <w:b/>
          <w:sz w:val="22"/>
          <w:szCs w:val="22"/>
        </w:rPr>
        <w:t>Konstrukční a materiálové řešení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 xml:space="preserve">Objekt je založen na základových pasech z prostého betonu, se základovou spárou na rostlém terénu. Svislé nosné konstrukce jsou zděné v tloušťce </w:t>
      </w:r>
      <w:smartTag w:uri="urn:schemas-microsoft-com:office:smarttags" w:element="metricconverter">
        <w:smartTagPr>
          <w:attr w:name="ProductID" w:val="440 mm"/>
        </w:smartTagPr>
        <w:r>
          <w:rPr>
            <w:rFonts w:cs="UnitusTEE-ReguCond"/>
            <w:sz w:val="22"/>
            <w:szCs w:val="22"/>
          </w:rPr>
          <w:t>440 mm</w:t>
        </w:r>
      </w:smartTag>
      <w:r>
        <w:rPr>
          <w:rFonts w:cs="UnitusTEE-ReguCond"/>
          <w:sz w:val="22"/>
          <w:szCs w:val="22"/>
        </w:rPr>
        <w:t xml:space="preserve"> obvodové zdivo, resp. </w:t>
      </w:r>
      <w:smartTag w:uri="urn:schemas-microsoft-com:office:smarttags" w:element="metricconverter">
        <w:smartTagPr>
          <w:attr w:name="ProductID" w:val="300 a"/>
        </w:smartTagPr>
        <w:r>
          <w:rPr>
            <w:rFonts w:cs="UnitusTEE-ReguCond"/>
            <w:sz w:val="22"/>
            <w:szCs w:val="22"/>
          </w:rPr>
          <w:t>300 a</w:t>
        </w:r>
      </w:smartTag>
      <w:r>
        <w:rPr>
          <w:rFonts w:cs="UnitusTEE-ReguCond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40 mm"/>
        </w:smartTagPr>
        <w:r>
          <w:rPr>
            <w:rFonts w:cs="UnitusTEE-ReguCond"/>
            <w:sz w:val="22"/>
            <w:szCs w:val="22"/>
          </w:rPr>
          <w:t>240 mm</w:t>
        </w:r>
      </w:smartTag>
      <w:r>
        <w:rPr>
          <w:rFonts w:cs="UnitusTEE-ReguCond"/>
          <w:sz w:val="22"/>
          <w:szCs w:val="22"/>
        </w:rPr>
        <w:t xml:space="preserve"> vnitřní nosné konstrukce, překlady v </w:t>
      </w:r>
      <w:r w:rsidRPr="004C6E8B">
        <w:rPr>
          <w:rFonts w:cs="UnitusTEE-ReguCond"/>
          <w:sz w:val="22"/>
          <w:szCs w:val="22"/>
        </w:rPr>
        <w:t xml:space="preserve">nosném </w:t>
      </w:r>
      <w:r w:rsidRPr="004C6E8B">
        <w:rPr>
          <w:sz w:val="22"/>
          <w:szCs w:val="22"/>
        </w:rPr>
        <w:t xml:space="preserve">zdivu </w:t>
      </w:r>
      <w:r>
        <w:rPr>
          <w:sz w:val="22"/>
          <w:szCs w:val="22"/>
        </w:rPr>
        <w:t>jsou buď keramické systémové,</w:t>
      </w:r>
      <w:r w:rsidRPr="004C6E8B">
        <w:rPr>
          <w:sz w:val="22"/>
          <w:szCs w:val="22"/>
        </w:rPr>
        <w:t xml:space="preserve"> nebo monolitické železobetonové.</w:t>
      </w:r>
      <w:r>
        <w:rPr>
          <w:sz w:val="22"/>
          <w:szCs w:val="22"/>
        </w:rPr>
        <w:t xml:space="preserve"> </w:t>
      </w:r>
      <w:r w:rsidRPr="004A6BDE">
        <w:rPr>
          <w:rFonts w:cs="UnitusTEE-ReguCond"/>
          <w:sz w:val="22"/>
          <w:szCs w:val="22"/>
        </w:rPr>
        <w:t xml:space="preserve">Vnitřní dělící příčky </w:t>
      </w:r>
      <w:r>
        <w:rPr>
          <w:rFonts w:cs="UnitusTEE-ReguCond"/>
          <w:sz w:val="22"/>
          <w:szCs w:val="22"/>
        </w:rPr>
        <w:t xml:space="preserve">jsou provedeny rovněž z keramických příčkovek, se systémovými překlady. Stropní konstrukce nad suterénem i přízemím jsou provedeny jako monolitická železobetonová deska </w:t>
      </w:r>
      <w:proofErr w:type="spellStart"/>
      <w:r>
        <w:rPr>
          <w:rFonts w:cs="UnitusTEE-ReguCond"/>
          <w:sz w:val="22"/>
          <w:szCs w:val="22"/>
        </w:rPr>
        <w:t>tl</w:t>
      </w:r>
      <w:proofErr w:type="spellEnd"/>
      <w:r>
        <w:rPr>
          <w:rFonts w:cs="UnitusTEE-ReguCond"/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00 mm"/>
        </w:smartTagPr>
        <w:r>
          <w:rPr>
            <w:rFonts w:cs="UnitusTEE-ReguCond"/>
            <w:sz w:val="22"/>
            <w:szCs w:val="22"/>
          </w:rPr>
          <w:t>200 mm</w:t>
        </w:r>
      </w:smartTag>
      <w:r>
        <w:rPr>
          <w:rFonts w:cs="UnitusTEE-ReguCond"/>
          <w:sz w:val="22"/>
          <w:szCs w:val="22"/>
        </w:rPr>
        <w:t xml:space="preserve">, střechy jsou ploché, s minimálním sklonem </w:t>
      </w:r>
      <w:proofErr w:type="gramStart"/>
      <w:r>
        <w:rPr>
          <w:rFonts w:cs="UnitusTEE-ReguCond"/>
          <w:sz w:val="22"/>
          <w:szCs w:val="22"/>
        </w:rPr>
        <w:t>1%</w:t>
      </w:r>
      <w:proofErr w:type="gramEnd"/>
      <w:r>
        <w:rPr>
          <w:rFonts w:cs="UnitusTEE-ReguCond"/>
          <w:sz w:val="22"/>
          <w:szCs w:val="22"/>
        </w:rPr>
        <w:t>. Vnitřní schodiště je jednoramenné, lomené, venkovní schodiště jednoramenné, přímé, obě jsou provedeny jako monolitické železobetonové. Okna a dveře v obvodovém plášti jsou dřevěná, zasklená izolačním dvojsklem. Vnitřní dveře jsou buď protipožární, nebo truhlářské interiérové, lakované. Veškeré zámečnické konstrukce jsou navrženy nerezové, klempířské výrobky jsou z měděného plechu. Fasáda objektu je tvořena probarvenou minerální omítkou.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>
        <w:rPr>
          <w:rFonts w:cs="UnitusTEE-ReguCond"/>
          <w:b/>
          <w:sz w:val="22"/>
          <w:szCs w:val="22"/>
        </w:rPr>
        <w:lastRenderedPageBreak/>
        <w:t>Vytápění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 xml:space="preserve">Tepelné čerpadlo IVT </w:t>
      </w:r>
      <w:proofErr w:type="spellStart"/>
      <w:r>
        <w:rPr>
          <w:rFonts w:cs="UnitusTEE-ReguCond"/>
          <w:sz w:val="22"/>
          <w:szCs w:val="22"/>
        </w:rPr>
        <w:t>Greenline</w:t>
      </w:r>
      <w:proofErr w:type="spellEnd"/>
      <w:r>
        <w:rPr>
          <w:rFonts w:cs="UnitusTEE-ReguCond"/>
          <w:sz w:val="22"/>
          <w:szCs w:val="22"/>
        </w:rPr>
        <w:t xml:space="preserve"> E11 Plus, systém země/voda, vrty 2x85m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 xml:space="preserve">Podlahové vytápění </w:t>
      </w:r>
      <w:proofErr w:type="spellStart"/>
      <w:r>
        <w:rPr>
          <w:rFonts w:cs="UnitusTEE-ReguCond"/>
          <w:sz w:val="22"/>
          <w:szCs w:val="22"/>
        </w:rPr>
        <w:t>Gabotherm</w:t>
      </w:r>
      <w:proofErr w:type="spellEnd"/>
      <w:r>
        <w:rPr>
          <w:rFonts w:cs="UnitusTEE-ReguCond"/>
          <w:sz w:val="22"/>
          <w:szCs w:val="22"/>
        </w:rPr>
        <w:t xml:space="preserve"> v celém domě + radiátory v koupelnách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>
        <w:rPr>
          <w:rFonts w:cs="UnitusTEE-ReguCond"/>
          <w:b/>
          <w:sz w:val="22"/>
          <w:szCs w:val="22"/>
        </w:rPr>
        <w:t>Okna a zdvižně posuvné dveře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>
        <w:rPr>
          <w:rFonts w:cs="UnitusTEE-ReguCond"/>
          <w:sz w:val="22"/>
          <w:szCs w:val="22"/>
        </w:rPr>
        <w:t xml:space="preserve">Eurookna ALBO Styl IV68, smrk fix, izolační </w:t>
      </w:r>
      <w:proofErr w:type="spellStart"/>
      <w:r>
        <w:rPr>
          <w:rFonts w:cs="UnitusTEE-ReguCond"/>
          <w:sz w:val="22"/>
          <w:szCs w:val="22"/>
        </w:rPr>
        <w:t>dvojsko</w:t>
      </w:r>
      <w:proofErr w:type="spellEnd"/>
      <w:r>
        <w:rPr>
          <w:rFonts w:cs="UnitusTEE-ReguCond"/>
          <w:sz w:val="22"/>
          <w:szCs w:val="22"/>
        </w:rPr>
        <w:t xml:space="preserve">, kování Roto NT, čtyřvrstvý systém povrchové úpravy </w:t>
      </w:r>
      <w:proofErr w:type="spellStart"/>
      <w:r>
        <w:rPr>
          <w:rFonts w:cs="UnitusTEE-ReguCond"/>
          <w:sz w:val="22"/>
          <w:szCs w:val="22"/>
        </w:rPr>
        <w:t>Sikkens</w:t>
      </w:r>
      <w:proofErr w:type="spellEnd"/>
      <w:r>
        <w:rPr>
          <w:rFonts w:cs="UnitusTEE-ReguCond"/>
          <w:sz w:val="22"/>
          <w:szCs w:val="22"/>
        </w:rPr>
        <w:t xml:space="preserve"> </w:t>
      </w:r>
      <w:r>
        <w:rPr>
          <w:rFonts w:cs="UnitusTEE-ReguCond"/>
          <w:b/>
          <w:sz w:val="22"/>
          <w:szCs w:val="22"/>
        </w:rPr>
        <w:t xml:space="preserve"> </w:t>
      </w:r>
    </w:p>
    <w:p w:rsidR="00424296" w:rsidRP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>
        <w:rPr>
          <w:rFonts w:cs="UnitusTEE-ReguCond"/>
          <w:sz w:val="22"/>
          <w:szCs w:val="22"/>
        </w:rPr>
        <w:t>Celohliníkové panoramatické okno ve SPA</w:t>
      </w:r>
    </w:p>
    <w:p w:rsidR="00424296" w:rsidRPr="009F56B2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 w:rsidRPr="009F56B2">
        <w:rPr>
          <w:rFonts w:cs="UnitusTEE-ReguCond"/>
          <w:b/>
          <w:sz w:val="22"/>
          <w:szCs w:val="22"/>
        </w:rPr>
        <w:t>Vnitřní dveře a dřevěné obložení stěn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 xml:space="preserve">Dýha dub, rámové, </w:t>
      </w:r>
      <w:proofErr w:type="spellStart"/>
      <w:r>
        <w:rPr>
          <w:rFonts w:cs="UnitusTEE-ReguCond"/>
          <w:sz w:val="22"/>
          <w:szCs w:val="22"/>
        </w:rPr>
        <w:t>bezfalcové</w:t>
      </w:r>
      <w:proofErr w:type="spellEnd"/>
      <w:r>
        <w:rPr>
          <w:rFonts w:cs="UnitusTEE-ReguCond"/>
          <w:sz w:val="22"/>
          <w:szCs w:val="22"/>
        </w:rPr>
        <w:t xml:space="preserve"> se skrytým pantem TECTUS (3xpant pro 1 dveře)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>Pro celý dům použita dýha z jednoho stromu, schodiště dub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 w:rsidRPr="003608E9">
        <w:rPr>
          <w:rFonts w:cs="UnitusTEE-ReguCond"/>
          <w:b/>
          <w:sz w:val="22"/>
          <w:szCs w:val="22"/>
        </w:rPr>
        <w:t>Podlahy</w:t>
      </w:r>
    </w:p>
    <w:p w:rsidR="00424296" w:rsidRPr="003608E9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 xml:space="preserve">Celodřevěné třívrstvé parkety </w:t>
      </w:r>
      <w:proofErr w:type="spellStart"/>
      <w:r>
        <w:rPr>
          <w:rFonts w:cs="UnitusTEE-ReguCond"/>
          <w:sz w:val="22"/>
          <w:szCs w:val="22"/>
        </w:rPr>
        <w:t>Modernline</w:t>
      </w:r>
      <w:proofErr w:type="spellEnd"/>
      <w:r>
        <w:rPr>
          <w:rFonts w:cs="UnitusTEE-ReguCond"/>
          <w:sz w:val="22"/>
          <w:szCs w:val="22"/>
        </w:rPr>
        <w:t xml:space="preserve"> v provedení dub a </w:t>
      </w:r>
      <w:proofErr w:type="spellStart"/>
      <w:r>
        <w:rPr>
          <w:rFonts w:cs="UnitusTEE-ReguCond"/>
          <w:sz w:val="22"/>
          <w:szCs w:val="22"/>
        </w:rPr>
        <w:t>hevea</w:t>
      </w:r>
      <w:proofErr w:type="spellEnd"/>
      <w:r>
        <w:rPr>
          <w:rFonts w:cs="UnitusTEE-ReguCond"/>
          <w:sz w:val="22"/>
          <w:szCs w:val="22"/>
        </w:rPr>
        <w:t xml:space="preserve">, olej  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>
        <w:rPr>
          <w:rFonts w:cs="UnitusTEE-ReguCond"/>
          <w:b/>
          <w:sz w:val="22"/>
          <w:szCs w:val="22"/>
        </w:rPr>
        <w:t>Venkovní terasy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 xml:space="preserve">Exotické dřevo </w:t>
      </w:r>
      <w:proofErr w:type="spellStart"/>
      <w:r>
        <w:rPr>
          <w:rFonts w:cs="UnitusTEE-ReguCond"/>
          <w:sz w:val="22"/>
          <w:szCs w:val="22"/>
        </w:rPr>
        <w:t>Merbau</w:t>
      </w:r>
      <w:proofErr w:type="spellEnd"/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 w:rsidRPr="009F56B2">
        <w:rPr>
          <w:rFonts w:cs="UnitusTEE-ReguCond"/>
          <w:b/>
          <w:sz w:val="22"/>
          <w:szCs w:val="22"/>
        </w:rPr>
        <w:t xml:space="preserve">Krb </w:t>
      </w:r>
    </w:p>
    <w:p w:rsidR="00424296" w:rsidRPr="009F56B2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proofErr w:type="spellStart"/>
      <w:r>
        <w:rPr>
          <w:rFonts w:cs="UnitusTEE-ReguCond"/>
          <w:sz w:val="22"/>
          <w:szCs w:val="22"/>
        </w:rPr>
        <w:t>Spartherm</w:t>
      </w:r>
      <w:proofErr w:type="spellEnd"/>
      <w:r>
        <w:rPr>
          <w:rFonts w:cs="UnitusTEE-ReguCond"/>
          <w:sz w:val="22"/>
          <w:szCs w:val="22"/>
        </w:rPr>
        <w:t xml:space="preserve"> VARIA, průhledový, obklad kámen </w:t>
      </w:r>
      <w:proofErr w:type="spellStart"/>
      <w:r>
        <w:rPr>
          <w:rFonts w:cs="UnitusTEE-ReguCond"/>
          <w:sz w:val="22"/>
          <w:szCs w:val="22"/>
        </w:rPr>
        <w:t>Brecca</w:t>
      </w:r>
      <w:proofErr w:type="spellEnd"/>
      <w:r>
        <w:rPr>
          <w:rFonts w:cs="UnitusTEE-ReguCond"/>
          <w:sz w:val="22"/>
          <w:szCs w:val="22"/>
        </w:rPr>
        <w:t xml:space="preserve">-Sarda </w:t>
      </w:r>
      <w:proofErr w:type="gramStart"/>
      <w:r>
        <w:rPr>
          <w:rFonts w:cs="UnitusTEE-ReguCond"/>
          <w:sz w:val="22"/>
          <w:szCs w:val="22"/>
        </w:rPr>
        <w:t>2cm</w:t>
      </w:r>
      <w:proofErr w:type="gramEnd"/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>
        <w:rPr>
          <w:rFonts w:cs="UnitusTEE-ReguCond"/>
          <w:b/>
          <w:sz w:val="22"/>
          <w:szCs w:val="22"/>
        </w:rPr>
        <w:t>SPA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 xml:space="preserve">Sauna </w:t>
      </w:r>
      <w:proofErr w:type="spellStart"/>
      <w:r>
        <w:rPr>
          <w:rFonts w:cs="UnitusTEE-ReguCond"/>
          <w:sz w:val="22"/>
          <w:szCs w:val="22"/>
        </w:rPr>
        <w:t>Salus</w:t>
      </w:r>
      <w:proofErr w:type="spellEnd"/>
      <w:r>
        <w:rPr>
          <w:rFonts w:cs="UnitusTEE-ReguCond"/>
          <w:sz w:val="22"/>
          <w:szCs w:val="22"/>
        </w:rPr>
        <w:t xml:space="preserve"> 2,0 x 2,1 x 2,1m, provedení topol, vnitřní vybavení </w:t>
      </w:r>
      <w:proofErr w:type="spellStart"/>
      <w:r>
        <w:rPr>
          <w:rFonts w:cs="UnitusTEE-ReguCond"/>
          <w:sz w:val="22"/>
          <w:szCs w:val="22"/>
        </w:rPr>
        <w:t>abachi</w:t>
      </w:r>
      <w:proofErr w:type="spellEnd"/>
      <w:r>
        <w:rPr>
          <w:rFonts w:cs="UnitusTEE-ReguCond"/>
          <w:sz w:val="22"/>
          <w:szCs w:val="22"/>
        </w:rPr>
        <w:t xml:space="preserve">, kamna </w:t>
      </w:r>
      <w:proofErr w:type="spellStart"/>
      <w:r>
        <w:rPr>
          <w:rFonts w:cs="UnitusTEE-ReguCond"/>
          <w:sz w:val="22"/>
          <w:szCs w:val="22"/>
        </w:rPr>
        <w:t>Salus</w:t>
      </w:r>
      <w:proofErr w:type="spellEnd"/>
      <w:r>
        <w:rPr>
          <w:rFonts w:cs="UnitusTEE-ReguCond"/>
          <w:sz w:val="22"/>
          <w:szCs w:val="22"/>
        </w:rPr>
        <w:t xml:space="preserve"> </w:t>
      </w:r>
      <w:proofErr w:type="spellStart"/>
      <w:r>
        <w:rPr>
          <w:rFonts w:cs="UnitusTEE-ReguCond"/>
          <w:sz w:val="22"/>
          <w:szCs w:val="22"/>
        </w:rPr>
        <w:t>Vulcan</w:t>
      </w:r>
      <w:proofErr w:type="spellEnd"/>
      <w:r>
        <w:rPr>
          <w:rFonts w:cs="UnitusTEE-ReguCond"/>
          <w:sz w:val="22"/>
          <w:szCs w:val="22"/>
        </w:rPr>
        <w:t xml:space="preserve"> Komfort 7,5kW s parním vyvíječem a dálkovou regulací  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>Whirlpool USSPA Universum Spa Persea pro 5 osob, odvlhčovač vzduchu</w:t>
      </w:r>
    </w:p>
    <w:p w:rsidR="00424296" w:rsidRPr="003608E9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 w:rsidRPr="003608E9">
        <w:rPr>
          <w:rFonts w:cs="UnitusTEE-ReguCond"/>
          <w:b/>
          <w:sz w:val="22"/>
          <w:szCs w:val="22"/>
        </w:rPr>
        <w:t>Obklady a dlažby, Zařizovací předměty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>Italská dlažba a obklady ASCARA, VIEW ve formátech 30,5x30,</w:t>
      </w:r>
      <w:proofErr w:type="gramStart"/>
      <w:r>
        <w:rPr>
          <w:rFonts w:cs="UnitusTEE-ReguCond"/>
          <w:sz w:val="22"/>
          <w:szCs w:val="22"/>
        </w:rPr>
        <w:t>5 – 60</w:t>
      </w:r>
      <w:proofErr w:type="gramEnd"/>
      <w:r>
        <w:rPr>
          <w:rFonts w:cs="UnitusTEE-ReguCond"/>
          <w:sz w:val="22"/>
          <w:szCs w:val="22"/>
        </w:rPr>
        <w:t xml:space="preserve">,0x60,0cm 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proofErr w:type="spellStart"/>
      <w:r>
        <w:rPr>
          <w:rFonts w:cs="UnitusTEE-ReguCond"/>
          <w:sz w:val="22"/>
          <w:szCs w:val="22"/>
        </w:rPr>
        <w:t>Sanitátní</w:t>
      </w:r>
      <w:proofErr w:type="spellEnd"/>
      <w:r>
        <w:rPr>
          <w:rFonts w:cs="UnitusTEE-ReguCond"/>
          <w:sz w:val="22"/>
          <w:szCs w:val="22"/>
        </w:rPr>
        <w:t xml:space="preserve"> keramika </w:t>
      </w:r>
      <w:proofErr w:type="spellStart"/>
      <w:r>
        <w:rPr>
          <w:rFonts w:cs="UnitusTEE-ReguCond"/>
          <w:sz w:val="22"/>
          <w:szCs w:val="22"/>
        </w:rPr>
        <w:t>Laufen</w:t>
      </w:r>
      <w:proofErr w:type="spellEnd"/>
      <w:r>
        <w:rPr>
          <w:rFonts w:cs="UnitusTEE-ReguCond"/>
          <w:sz w:val="22"/>
          <w:szCs w:val="22"/>
        </w:rPr>
        <w:t xml:space="preserve"> a </w:t>
      </w:r>
      <w:proofErr w:type="spellStart"/>
      <w:r>
        <w:rPr>
          <w:rFonts w:cs="UnitusTEE-ReguCond"/>
          <w:sz w:val="22"/>
          <w:szCs w:val="22"/>
        </w:rPr>
        <w:t>Starck</w:t>
      </w:r>
      <w:proofErr w:type="spellEnd"/>
      <w:r>
        <w:rPr>
          <w:rFonts w:cs="UnitusTEE-ReguCond"/>
          <w:sz w:val="22"/>
          <w:szCs w:val="22"/>
        </w:rPr>
        <w:t xml:space="preserve">, baterie a sprchy </w:t>
      </w:r>
      <w:proofErr w:type="spellStart"/>
      <w:r>
        <w:rPr>
          <w:rFonts w:cs="UnitusTEE-ReguCond"/>
          <w:sz w:val="22"/>
          <w:szCs w:val="22"/>
        </w:rPr>
        <w:t>Hansgrohe</w:t>
      </w:r>
      <w:proofErr w:type="spellEnd"/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 w:rsidRPr="00300E25">
        <w:rPr>
          <w:rFonts w:cs="UnitusTEE-ReguCond"/>
          <w:b/>
          <w:sz w:val="22"/>
          <w:szCs w:val="22"/>
        </w:rPr>
        <w:t>Nábytek a kuchyně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 xml:space="preserve">Nábytek zhotoven na zakázku v provedení dýha </w:t>
      </w:r>
      <w:proofErr w:type="spellStart"/>
      <w:r>
        <w:rPr>
          <w:rFonts w:cs="UnitusTEE-ReguCond"/>
          <w:sz w:val="22"/>
          <w:szCs w:val="22"/>
        </w:rPr>
        <w:t>wenge</w:t>
      </w:r>
      <w:proofErr w:type="spellEnd"/>
      <w:r>
        <w:rPr>
          <w:rFonts w:cs="UnitusTEE-ReguCond"/>
          <w:sz w:val="22"/>
          <w:szCs w:val="22"/>
        </w:rPr>
        <w:t xml:space="preserve">, bambus, lak, lamino v šatnách  </w:t>
      </w:r>
    </w:p>
    <w:p w:rsidR="00424296" w:rsidRPr="00300E25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 xml:space="preserve">Kuchyňské spotřebiče Siemens, lednice </w:t>
      </w:r>
      <w:proofErr w:type="spellStart"/>
      <w:r>
        <w:rPr>
          <w:rFonts w:cs="UnitusTEE-ReguCond"/>
          <w:sz w:val="22"/>
          <w:szCs w:val="22"/>
        </w:rPr>
        <w:t>Liebherr</w:t>
      </w:r>
      <w:proofErr w:type="spellEnd"/>
      <w:r>
        <w:rPr>
          <w:rFonts w:cs="UnitusTEE-ReguCond"/>
          <w:sz w:val="22"/>
          <w:szCs w:val="22"/>
        </w:rPr>
        <w:t xml:space="preserve">, vnitřní vybavení kuchyně Blum </w:t>
      </w:r>
    </w:p>
    <w:p w:rsidR="00424296" w:rsidRPr="00300E25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>
        <w:rPr>
          <w:rFonts w:cs="UnitusTEE-ReguCond"/>
          <w:b/>
          <w:sz w:val="22"/>
          <w:szCs w:val="22"/>
        </w:rPr>
        <w:t>Další vybavení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 xml:space="preserve">centrální vysavač Husky </w:t>
      </w:r>
      <w:proofErr w:type="gramStart"/>
      <w:r>
        <w:rPr>
          <w:rFonts w:cs="UnitusTEE-ReguCond"/>
          <w:sz w:val="22"/>
          <w:szCs w:val="22"/>
        </w:rPr>
        <w:t>dvoumotorový ,EZS</w:t>
      </w:r>
      <w:proofErr w:type="gramEnd"/>
      <w:r>
        <w:rPr>
          <w:rFonts w:cs="UnitusTEE-ReguCond"/>
          <w:sz w:val="22"/>
          <w:szCs w:val="22"/>
        </w:rPr>
        <w:t xml:space="preserve">, </w:t>
      </w:r>
      <w:proofErr w:type="spellStart"/>
      <w:r>
        <w:rPr>
          <w:rFonts w:cs="UnitusTEE-ReguCond"/>
          <w:sz w:val="22"/>
          <w:szCs w:val="22"/>
        </w:rPr>
        <w:t>bezklíčový</w:t>
      </w:r>
      <w:proofErr w:type="spellEnd"/>
      <w:r>
        <w:rPr>
          <w:rFonts w:cs="UnitusTEE-ReguCond"/>
          <w:sz w:val="22"/>
          <w:szCs w:val="22"/>
        </w:rPr>
        <w:t xml:space="preserve"> vstup pomocí čipů, domácí telefon, PC síť, regulace intenzity osvětlení dálkovým ovladačem,….  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  <w:r w:rsidRPr="00457274">
        <w:rPr>
          <w:rFonts w:cs="UnitusTEE-ReguCond"/>
          <w:b/>
          <w:sz w:val="22"/>
          <w:szCs w:val="22"/>
        </w:rPr>
        <w:t>Zahrada</w:t>
      </w:r>
    </w:p>
    <w:p w:rsidR="00424296" w:rsidRPr="00FE1033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sz w:val="22"/>
          <w:szCs w:val="22"/>
        </w:rPr>
      </w:pPr>
      <w:r>
        <w:rPr>
          <w:rFonts w:cs="UnitusTEE-ReguCond"/>
          <w:sz w:val="22"/>
          <w:szCs w:val="22"/>
        </w:rPr>
        <w:t xml:space="preserve">Studna, nádrž na dešťovou vodu </w:t>
      </w:r>
      <w:proofErr w:type="gramStart"/>
      <w:r>
        <w:rPr>
          <w:rFonts w:cs="UnitusTEE-ReguCond"/>
          <w:sz w:val="22"/>
          <w:szCs w:val="22"/>
        </w:rPr>
        <w:t>12m3</w:t>
      </w:r>
      <w:proofErr w:type="gramEnd"/>
      <w:r>
        <w:rPr>
          <w:rFonts w:cs="UnitusTEE-ReguCond"/>
          <w:sz w:val="22"/>
          <w:szCs w:val="22"/>
        </w:rPr>
        <w:t>, závlahový systém</w:t>
      </w:r>
    </w:p>
    <w:p w:rsidR="00424296" w:rsidRDefault="00424296" w:rsidP="00424296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UnitusTEE-ReguCond"/>
          <w:b/>
          <w:sz w:val="22"/>
          <w:szCs w:val="22"/>
        </w:rPr>
      </w:pPr>
    </w:p>
    <w:p w:rsidR="00641332" w:rsidRDefault="00641332"/>
    <w:sectPr w:rsidR="00641332" w:rsidSect="00DA70CD">
      <w:footerReference w:type="default" r:id="rId7"/>
      <w:pgSz w:w="11906" w:h="16838" w:code="9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61B7" w:rsidRDefault="000C61B7" w:rsidP="00424296">
      <w:r>
        <w:separator/>
      </w:r>
    </w:p>
  </w:endnote>
  <w:endnote w:type="continuationSeparator" w:id="0">
    <w:p w:rsidR="000C61B7" w:rsidRDefault="000C61B7" w:rsidP="0042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tusTEE-BoldCon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Con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2715" w:rsidRDefault="00C3539C" w:rsidP="00C167C5">
    <w:pPr>
      <w:pStyle w:val="Zpat"/>
      <w:tabs>
        <w:tab w:val="clear" w:pos="4536"/>
        <w:tab w:val="clear" w:pos="9072"/>
        <w:tab w:val="right" w:pos="9356"/>
      </w:tabs>
      <w:ind w:firstLine="0"/>
      <w:rPr>
        <w:sz w:val="18"/>
      </w:rPr>
    </w:pPr>
    <w:r>
      <w:rPr>
        <w:sz w:val="18"/>
      </w:rPr>
      <w:t>Rodinný dům SVINOŠICE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61B7" w:rsidRDefault="000C61B7" w:rsidP="00424296">
      <w:r>
        <w:separator/>
      </w:r>
    </w:p>
  </w:footnote>
  <w:footnote w:type="continuationSeparator" w:id="0">
    <w:p w:rsidR="000C61B7" w:rsidRDefault="000C61B7" w:rsidP="00424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96"/>
    <w:rsid w:val="000C61B7"/>
    <w:rsid w:val="00424296"/>
    <w:rsid w:val="00641332"/>
    <w:rsid w:val="00800BE8"/>
    <w:rsid w:val="00C3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B99CD-BD62-421E-8F64-53D43DB7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296"/>
    <w:pPr>
      <w:spacing w:after="0" w:line="240" w:lineRule="auto"/>
      <w:ind w:firstLine="539"/>
      <w:jc w:val="both"/>
    </w:pPr>
    <w:rPr>
      <w:rFonts w:ascii="Arial Narrow" w:eastAsia="Times New Roman" w:hAnsi="Arial Narrow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242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24296"/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424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24296"/>
    <w:rPr>
      <w:rFonts w:ascii="Arial Narrow" w:eastAsia="Times New Roman" w:hAnsi="Arial Narrow" w:cs="Times New Roman"/>
      <w:sz w:val="20"/>
      <w:szCs w:val="24"/>
      <w:lang w:eastAsia="cs-CZ"/>
    </w:rPr>
  </w:style>
  <w:style w:type="character" w:styleId="Hypertextovodkaz">
    <w:name w:val="Hyperlink"/>
    <w:rsid w:val="0042429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4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nesl-kyncl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klimešová</dc:creator>
  <cp:keywords/>
  <dc:description/>
  <cp:lastModifiedBy>lucie klimešová</cp:lastModifiedBy>
  <cp:revision>2</cp:revision>
  <dcterms:created xsi:type="dcterms:W3CDTF">2020-05-31T07:03:00Z</dcterms:created>
  <dcterms:modified xsi:type="dcterms:W3CDTF">2020-05-31T07:03:00Z</dcterms:modified>
</cp:coreProperties>
</file>